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1D" w:rsidRDefault="00F9631D" w:rsidP="00F9631D">
      <w:pPr>
        <w:spacing w:line="480" w:lineRule="auto"/>
        <w:ind w:right="-360"/>
        <w:jc w:val="center"/>
        <w:rPr>
          <w:b/>
          <w:spacing w:val="-3"/>
        </w:rPr>
      </w:pPr>
      <w:bookmarkStart w:id="0" w:name="_GoBack"/>
      <w:bookmarkEnd w:id="0"/>
      <w:r>
        <w:rPr>
          <w:b/>
          <w:spacing w:val="-3"/>
          <w:u w:val="single"/>
        </w:rPr>
        <w:t>MINUTES OF CLOSED MEETING</w:t>
      </w:r>
    </w:p>
    <w:p w:rsidR="008E331F" w:rsidRPr="00D13A7D" w:rsidRDefault="008E331F"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r>
        <w:rPr>
          <w:b/>
          <w:spacing w:val="-3"/>
          <w:sz w:val="22"/>
          <w:szCs w:val="22"/>
        </w:rPr>
        <w:t>___________________ [Governmental Unit]</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r w:rsidRPr="00D13A7D">
        <w:rPr>
          <w:b/>
          <w:spacing w:val="-3"/>
          <w:sz w:val="22"/>
          <w:szCs w:val="22"/>
        </w:rPr>
        <w:t>DATE:</w:t>
      </w:r>
      <w:r w:rsidRPr="00D13A7D">
        <w:rPr>
          <w:b/>
          <w:spacing w:val="-3"/>
          <w:sz w:val="22"/>
          <w:szCs w:val="22"/>
        </w:rPr>
        <w:tab/>
      </w:r>
      <w:r w:rsidRPr="00D13A7D">
        <w:rPr>
          <w:b/>
          <w:spacing w:val="-3"/>
          <w:sz w:val="22"/>
          <w:szCs w:val="22"/>
        </w:rPr>
        <w:tab/>
      </w:r>
      <w:r w:rsidRPr="00D13A7D">
        <w:rPr>
          <w:b/>
          <w:spacing w:val="-3"/>
          <w:sz w:val="22"/>
          <w:szCs w:val="22"/>
        </w:rPr>
        <w:tab/>
      </w:r>
      <w:r w:rsidRPr="00D13A7D">
        <w:rPr>
          <w:b/>
          <w:spacing w:val="-3"/>
          <w:sz w:val="22"/>
          <w:szCs w:val="22"/>
        </w:rPr>
        <w:tab/>
      </w:r>
      <w:r w:rsidRPr="00D13A7D">
        <w:rPr>
          <w:b/>
          <w:spacing w:val="-3"/>
          <w:sz w:val="22"/>
          <w:szCs w:val="22"/>
        </w:rPr>
        <w:tab/>
      </w:r>
      <w:r w:rsidRPr="00D13A7D">
        <w:rPr>
          <w:b/>
          <w:spacing w:val="-3"/>
          <w:sz w:val="22"/>
          <w:szCs w:val="22"/>
        </w:rPr>
        <w:tab/>
        <w:t>TIME:</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PLACE OF MEETING:</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MEMBERS PRESENT:</w:t>
      </w:r>
      <w:r w:rsidRPr="00D13A7D">
        <w:rPr>
          <w:b/>
          <w:spacing w:val="-3"/>
          <w:sz w:val="22"/>
          <w:szCs w:val="22"/>
        </w:rPr>
        <w:tab/>
      </w:r>
      <w:r w:rsidRPr="00D13A7D">
        <w:rPr>
          <w:b/>
          <w:spacing w:val="-3"/>
          <w:sz w:val="22"/>
          <w:szCs w:val="22"/>
        </w:rPr>
        <w:tab/>
      </w:r>
      <w:r w:rsidRPr="00D13A7D">
        <w:rPr>
          <w:b/>
          <w:spacing w:val="-3"/>
          <w:sz w:val="22"/>
          <w:szCs w:val="22"/>
        </w:rPr>
        <w:tab/>
      </w:r>
      <w:r w:rsidRPr="00D13A7D">
        <w:rPr>
          <w:b/>
          <w:spacing w:val="-3"/>
          <w:sz w:val="22"/>
          <w:szCs w:val="22"/>
        </w:rPr>
        <w:tab/>
        <w:t>MEMBERS ABSENT:</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VOTE ON CLOSING:  MEMBERS AYE:</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ab/>
      </w:r>
      <w:r w:rsidRPr="00D13A7D">
        <w:rPr>
          <w:b/>
          <w:spacing w:val="-3"/>
          <w:sz w:val="22"/>
          <w:szCs w:val="22"/>
        </w:rPr>
        <w:tab/>
      </w:r>
      <w:r w:rsidRPr="00D13A7D">
        <w:rPr>
          <w:b/>
          <w:spacing w:val="-3"/>
          <w:sz w:val="22"/>
          <w:szCs w:val="22"/>
        </w:rPr>
        <w:tab/>
        <w:t xml:space="preserve"> MEMBERS NAY:</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NON-MEMBERS IN ATTENDANCE:</w:t>
      </w: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APPLICABLE STATUTORY SECTION:</w:t>
      </w:r>
    </w:p>
    <w:p w:rsidR="00F9631D" w:rsidRPr="00D13A7D" w:rsidRDefault="00F9631D" w:rsidP="00F9631D">
      <w:pPr>
        <w:tabs>
          <w:tab w:val="left" w:pos="-720"/>
        </w:tabs>
        <w:jc w:val="both"/>
        <w:rPr>
          <w:spacing w:val="-3"/>
          <w:sz w:val="22"/>
          <w:szCs w:val="22"/>
        </w:rPr>
      </w:pPr>
      <w:r w:rsidRPr="00D13A7D">
        <w:rPr>
          <w:spacing w:val="-3"/>
          <w:sz w:val="22"/>
          <w:szCs w:val="22"/>
        </w:rPr>
        <w:t>[See reverse for numbers, include any applicable ones] __________</w:t>
      </w: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outlineLvl w:val="0"/>
        <w:rPr>
          <w:b/>
          <w:spacing w:val="-3"/>
          <w:sz w:val="22"/>
          <w:szCs w:val="22"/>
        </w:rPr>
      </w:pPr>
      <w:r w:rsidRPr="00D13A7D">
        <w:rPr>
          <w:b/>
          <w:spacing w:val="-3"/>
          <w:sz w:val="22"/>
          <w:szCs w:val="22"/>
        </w:rPr>
        <w:t>SUBJECT MATTER DISCUSSED:</w:t>
      </w:r>
    </w:p>
    <w:p w:rsidR="00F9631D" w:rsidRPr="00D13A7D" w:rsidRDefault="00F9631D" w:rsidP="00F9631D">
      <w:pPr>
        <w:tabs>
          <w:tab w:val="left" w:pos="-720"/>
        </w:tabs>
        <w:jc w:val="both"/>
        <w:rPr>
          <w:b/>
          <w:spacing w:val="-3"/>
          <w:sz w:val="22"/>
          <w:szCs w:val="22"/>
        </w:rPr>
      </w:pPr>
      <w:r w:rsidRPr="00D13A7D">
        <w:rPr>
          <w:spacing w:val="-3"/>
          <w:sz w:val="22"/>
          <w:szCs w:val="22"/>
        </w:rPr>
        <w:t>[Description of all matters proposed, discussed or decided]</w:t>
      </w:r>
    </w:p>
    <w:p w:rsidR="00F9631D" w:rsidRPr="00D13A7D" w:rsidRDefault="00F9631D" w:rsidP="00F9631D">
      <w:pPr>
        <w:tabs>
          <w:tab w:val="left" w:pos="-720"/>
        </w:tabs>
        <w:jc w:val="both"/>
        <w:rPr>
          <w:b/>
          <w:spacing w:val="-3"/>
          <w:sz w:val="22"/>
          <w:szCs w:val="22"/>
        </w:rPr>
      </w:pPr>
    </w:p>
    <w:p w:rsidR="00F9631D" w:rsidRDefault="00F9631D" w:rsidP="00F9631D">
      <w:pPr>
        <w:tabs>
          <w:tab w:val="left" w:pos="-720"/>
        </w:tabs>
        <w:jc w:val="both"/>
        <w:rPr>
          <w:spacing w:val="-3"/>
          <w:sz w:val="22"/>
          <w:szCs w:val="22"/>
        </w:rPr>
      </w:pPr>
    </w:p>
    <w:p w:rsidR="00130D79" w:rsidRPr="00D13A7D" w:rsidRDefault="00130D79"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8E331F" w:rsidRDefault="008E331F" w:rsidP="00F9631D">
      <w:pPr>
        <w:tabs>
          <w:tab w:val="left" w:pos="-720"/>
        </w:tabs>
        <w:jc w:val="both"/>
        <w:rPr>
          <w:spacing w:val="-3"/>
          <w:sz w:val="22"/>
          <w:szCs w:val="22"/>
        </w:rPr>
      </w:pPr>
    </w:p>
    <w:p w:rsidR="008E331F" w:rsidRDefault="008E331F" w:rsidP="00F9631D">
      <w:pPr>
        <w:tabs>
          <w:tab w:val="left" w:pos="-720"/>
        </w:tabs>
        <w:jc w:val="both"/>
        <w:rPr>
          <w:spacing w:val="-3"/>
          <w:sz w:val="22"/>
          <w:szCs w:val="22"/>
        </w:rPr>
      </w:pPr>
    </w:p>
    <w:p w:rsidR="008E331F" w:rsidRDefault="008E331F" w:rsidP="00F9631D">
      <w:pPr>
        <w:tabs>
          <w:tab w:val="left" w:pos="-720"/>
        </w:tabs>
        <w:jc w:val="both"/>
        <w:rPr>
          <w:spacing w:val="-3"/>
          <w:sz w:val="22"/>
          <w:szCs w:val="22"/>
        </w:rPr>
      </w:pPr>
    </w:p>
    <w:p w:rsidR="00130D79" w:rsidRDefault="00130D79"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b/>
          <w:spacing w:val="-3"/>
          <w:sz w:val="22"/>
          <w:szCs w:val="22"/>
        </w:rPr>
      </w:pPr>
    </w:p>
    <w:p w:rsidR="00F9631D" w:rsidRPr="00D13A7D" w:rsidRDefault="00F9631D" w:rsidP="00F9631D">
      <w:pPr>
        <w:tabs>
          <w:tab w:val="left" w:pos="-720"/>
        </w:tabs>
        <w:jc w:val="both"/>
        <w:rPr>
          <w:spacing w:val="-3"/>
          <w:sz w:val="22"/>
          <w:szCs w:val="22"/>
        </w:rPr>
      </w:pPr>
      <w:r w:rsidRPr="00D13A7D">
        <w:rPr>
          <w:b/>
          <w:spacing w:val="-3"/>
          <w:sz w:val="22"/>
          <w:szCs w:val="22"/>
        </w:rPr>
        <w:t xml:space="preserve">RECORD OF ANY VOTE TAKEN:  </w:t>
      </w:r>
      <w:r w:rsidRPr="00D13A7D">
        <w:rPr>
          <w:spacing w:val="-3"/>
          <w:sz w:val="18"/>
          <w:szCs w:val="18"/>
        </w:rPr>
        <w:t>[No final action may be taken in closed session]</w:t>
      </w:r>
    </w:p>
    <w:p w:rsidR="00F9631D" w:rsidRPr="00D13A7D" w:rsidRDefault="00F9631D" w:rsidP="00F9631D">
      <w:pPr>
        <w:tabs>
          <w:tab w:val="left" w:pos="-720"/>
        </w:tabs>
        <w:jc w:val="both"/>
        <w:rPr>
          <w:spacing w:val="-3"/>
          <w:sz w:val="22"/>
          <w:szCs w:val="22"/>
        </w:rPr>
      </w:pPr>
      <w:r w:rsidRPr="00D13A7D">
        <w:rPr>
          <w:spacing w:val="-3"/>
          <w:sz w:val="22"/>
          <w:szCs w:val="22"/>
        </w:rPr>
        <w:t>Specify movants and record tallies:</w:t>
      </w:r>
    </w:p>
    <w:p w:rsidR="00F9631D" w:rsidRDefault="00F9631D" w:rsidP="00F9631D">
      <w:pPr>
        <w:tabs>
          <w:tab w:val="left" w:pos="-720"/>
        </w:tabs>
        <w:jc w:val="both"/>
        <w:rPr>
          <w:spacing w:val="-3"/>
          <w:sz w:val="22"/>
          <w:szCs w:val="22"/>
        </w:rPr>
      </w:pPr>
    </w:p>
    <w:p w:rsidR="00F9631D" w:rsidRDefault="00F9631D" w:rsidP="00F9631D">
      <w:pPr>
        <w:tabs>
          <w:tab w:val="left" w:pos="-720"/>
        </w:tabs>
        <w:jc w:val="both"/>
        <w:rPr>
          <w:spacing w:val="-3"/>
          <w:sz w:val="22"/>
          <w:szCs w:val="22"/>
        </w:rPr>
      </w:pPr>
    </w:p>
    <w:p w:rsidR="008E331F" w:rsidRDefault="008E331F"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p>
    <w:p w:rsidR="00F9631D" w:rsidRPr="00D13A7D" w:rsidRDefault="00F9631D" w:rsidP="00F9631D">
      <w:pPr>
        <w:tabs>
          <w:tab w:val="left" w:pos="-720"/>
        </w:tabs>
        <w:jc w:val="both"/>
        <w:rPr>
          <w:spacing w:val="-3"/>
          <w:sz w:val="22"/>
          <w:szCs w:val="22"/>
        </w:rPr>
      </w:pP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t>___________________________</w:t>
      </w:r>
    </w:p>
    <w:p w:rsidR="00C62C4E" w:rsidRDefault="00F9631D" w:rsidP="00F9631D">
      <w:pPr>
        <w:tabs>
          <w:tab w:val="left" w:pos="-720"/>
        </w:tabs>
        <w:jc w:val="both"/>
        <w:outlineLvl w:val="0"/>
        <w:rPr>
          <w:spacing w:val="-3"/>
          <w:sz w:val="22"/>
          <w:szCs w:val="22"/>
        </w:rPr>
      </w:pP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r>
      <w:r w:rsidRPr="00D13A7D">
        <w:rPr>
          <w:spacing w:val="-3"/>
          <w:sz w:val="22"/>
          <w:szCs w:val="22"/>
        </w:rPr>
        <w:tab/>
        <w:t xml:space="preserve">   Secretary</w:t>
      </w:r>
    </w:p>
    <w:p w:rsidR="00F9631D" w:rsidRPr="0088243C" w:rsidRDefault="00C62C4E" w:rsidP="00C62C4E">
      <w:pPr>
        <w:tabs>
          <w:tab w:val="left" w:pos="-720"/>
        </w:tabs>
        <w:jc w:val="center"/>
        <w:outlineLvl w:val="0"/>
        <w:rPr>
          <w:spacing w:val="-3"/>
          <w:sz w:val="22"/>
          <w:szCs w:val="22"/>
        </w:rPr>
      </w:pPr>
      <w:r>
        <w:rPr>
          <w:spacing w:val="-3"/>
          <w:sz w:val="22"/>
          <w:szCs w:val="22"/>
        </w:rPr>
        <w:br w:type="page"/>
      </w:r>
      <w:r w:rsidR="00F9631D" w:rsidRPr="0088243C">
        <w:rPr>
          <w:b/>
          <w:spacing w:val="-3"/>
          <w:sz w:val="22"/>
          <w:szCs w:val="22"/>
        </w:rPr>
        <w:lastRenderedPageBreak/>
        <w:t>EXCEPTIONS PERMITTING CLOSED SESSIONS:*</w:t>
      </w:r>
    </w:p>
    <w:p w:rsidR="00F9631D" w:rsidRPr="0088243C" w:rsidRDefault="00F9631D" w:rsidP="00F9631D">
      <w:pPr>
        <w:tabs>
          <w:tab w:val="left" w:pos="-720"/>
          <w:tab w:val="right" w:pos="0"/>
        </w:tabs>
        <w:ind w:left="-780" w:right="-288"/>
        <w:jc w:val="both"/>
        <w:outlineLvl w:val="0"/>
        <w:rPr>
          <w:b/>
          <w:spacing w:val="-3"/>
          <w:sz w:val="22"/>
          <w:szCs w:val="22"/>
        </w:rPr>
      </w:pPr>
      <w:r w:rsidRPr="0088243C">
        <w:rPr>
          <w:b/>
          <w:spacing w:val="-3"/>
          <w:sz w:val="22"/>
          <w:szCs w:val="22"/>
        </w:rPr>
        <w:t>Citation to</w:t>
      </w:r>
    </w:p>
    <w:p w:rsidR="00F9631D" w:rsidRDefault="00F9631D" w:rsidP="00F9631D">
      <w:pPr>
        <w:tabs>
          <w:tab w:val="left" w:pos="-720"/>
          <w:tab w:val="right" w:pos="0"/>
          <w:tab w:val="left" w:pos="720"/>
        </w:tabs>
        <w:ind w:left="660" w:right="-288" w:hanging="1440"/>
        <w:jc w:val="both"/>
        <w:outlineLvl w:val="0"/>
        <w:rPr>
          <w:b/>
          <w:spacing w:val="-3"/>
          <w:sz w:val="22"/>
          <w:szCs w:val="22"/>
        </w:rPr>
      </w:pPr>
      <w:r w:rsidRPr="0088243C">
        <w:rPr>
          <w:b/>
          <w:spacing w:val="-3"/>
          <w:sz w:val="22"/>
          <w:szCs w:val="22"/>
        </w:rPr>
        <w:t xml:space="preserve">  </w:t>
      </w:r>
      <w:r w:rsidRPr="0088243C">
        <w:rPr>
          <w:b/>
          <w:spacing w:val="-3"/>
          <w:sz w:val="22"/>
          <w:szCs w:val="22"/>
          <w:u w:val="single"/>
        </w:rPr>
        <w:t>Section</w:t>
      </w:r>
      <w:r w:rsidRPr="0088243C">
        <w:rPr>
          <w:b/>
          <w:spacing w:val="-3"/>
          <w:sz w:val="22"/>
          <w:szCs w:val="22"/>
        </w:rPr>
        <w:tab/>
      </w:r>
    </w:p>
    <w:p w:rsidR="00F9631D" w:rsidRPr="0088243C" w:rsidRDefault="00F9631D" w:rsidP="00F9631D">
      <w:pPr>
        <w:tabs>
          <w:tab w:val="left" w:pos="-720"/>
          <w:tab w:val="right" w:pos="0"/>
          <w:tab w:val="left" w:pos="720"/>
        </w:tabs>
        <w:ind w:left="660" w:right="-288" w:hanging="1440"/>
        <w:jc w:val="both"/>
        <w:outlineLvl w:val="0"/>
        <w:rPr>
          <w:b/>
          <w:spacing w:val="-3"/>
          <w:sz w:val="22"/>
          <w:szCs w:val="22"/>
        </w:rPr>
      </w:pP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w:t>
      </w:r>
      <w:r w:rsidRPr="000F05DF">
        <w:rPr>
          <w:spacing w:val="-3"/>
          <w:sz w:val="20"/>
          <w:szCs w:val="20"/>
        </w:rPr>
        <w:tab/>
        <w:t>The appointment, employment</w:t>
      </w:r>
      <w:r>
        <w:rPr>
          <w:spacing w:val="-3"/>
          <w:sz w:val="20"/>
          <w:szCs w:val="20"/>
        </w:rPr>
        <w:t>,</w:t>
      </w:r>
      <w:r w:rsidRPr="000F05DF">
        <w:rPr>
          <w:spacing w:val="-3"/>
          <w:sz w:val="20"/>
          <w:szCs w:val="20"/>
        </w:rPr>
        <w:t xml:space="preserve"> compensation, discipline, performance, or dismissal of specific employees of the public body or legal counsel, including hearing testimony on a complaint lodged against an employee or against legal counsel to determine its validity.</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2(c)(2)</w:t>
      </w:r>
      <w:r w:rsidRPr="000F05DF">
        <w:rPr>
          <w:spacing w:val="-3"/>
          <w:sz w:val="20"/>
          <w:szCs w:val="20"/>
        </w:rPr>
        <w:tab/>
        <w:t>Collective negotiating matters between the public body and its employees or their representatives, or deliberations concerning salary schedules for one or more classes of employees.</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2(c)(3)</w:t>
      </w:r>
      <w:r w:rsidRPr="000F05DF">
        <w:rPr>
          <w:spacing w:val="-3"/>
          <w:sz w:val="20"/>
          <w:szCs w:val="20"/>
        </w:rPr>
        <w:tab/>
        <w:t xml:space="preserve">The selection of a person to fill a </w:t>
      </w:r>
      <w:r w:rsidRPr="00B10BFD">
        <w:rPr>
          <w:spacing w:val="-3"/>
          <w:sz w:val="20"/>
          <w:szCs w:val="20"/>
        </w:rPr>
        <w:t>public office, as defined in the Open Meetings Act, including a vacancy i</w:t>
      </w:r>
      <w:r w:rsidRPr="000F05DF">
        <w:rPr>
          <w:spacing w:val="-3"/>
          <w:sz w:val="20"/>
          <w:szCs w:val="20"/>
        </w:rPr>
        <w:t>n a public office, when the public body is given power to appoint under law or ordinance, or the discipline, performance or removal of the occupant of a public office, when the public body is given power to remove the occupant under law or ordinance.</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2(c)(4)</w:t>
      </w:r>
      <w:r w:rsidRPr="000F05DF">
        <w:rPr>
          <w:spacing w:val="-3"/>
          <w:sz w:val="20"/>
          <w:szCs w:val="20"/>
        </w:rPr>
        <w:tab/>
        <w:t>Evidence or testimony presented in open hearing, or in closed hearing where specifically authorized by law, to a</w:t>
      </w:r>
      <w:r w:rsidRPr="00B10BFD">
        <w:rPr>
          <w:spacing w:val="-3"/>
          <w:sz w:val="20"/>
          <w:szCs w:val="20"/>
        </w:rPr>
        <w:t xml:space="preserve"> quasi-adjudicative body, as defined in the Open Meetings Act, provided </w:t>
      </w:r>
      <w:r w:rsidRPr="000F05DF">
        <w:rPr>
          <w:spacing w:val="-3"/>
          <w:sz w:val="20"/>
          <w:szCs w:val="20"/>
        </w:rPr>
        <w:t>that the body prepares and makes available for public inspection a written decision setting forth its determinative reasoning.</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2(c)(5)</w:t>
      </w:r>
      <w:r w:rsidRPr="000F05DF">
        <w:rPr>
          <w:spacing w:val="-3"/>
          <w:sz w:val="20"/>
          <w:szCs w:val="20"/>
        </w:rPr>
        <w:tab/>
        <w:t>The purchase or lease of real property for the use of the public body</w:t>
      </w:r>
      <w:r>
        <w:rPr>
          <w:spacing w:val="-3"/>
          <w:sz w:val="20"/>
          <w:szCs w:val="20"/>
        </w:rPr>
        <w:t>, including for the purpose of discussing whether a particular parcel should be acquired</w:t>
      </w:r>
      <w:r w:rsidRPr="000F05DF">
        <w:rPr>
          <w:spacing w:val="-3"/>
          <w:sz w:val="20"/>
          <w:szCs w:val="20"/>
        </w:rPr>
        <w:t>.</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2(c)(6)</w:t>
      </w:r>
      <w:r w:rsidRPr="000F05DF">
        <w:rPr>
          <w:spacing w:val="-3"/>
          <w:sz w:val="20"/>
          <w:szCs w:val="20"/>
        </w:rPr>
        <w:tab/>
        <w:t>The setting of a price for sale or lease of property owned by the public body.</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2(c)(7)</w:t>
      </w:r>
      <w:r w:rsidRPr="000F05DF">
        <w:rPr>
          <w:spacing w:val="-3"/>
          <w:sz w:val="20"/>
          <w:szCs w:val="20"/>
        </w:rPr>
        <w:tab/>
        <w:t>The sale or purchase of securities, investments, or investment contracts.</w:t>
      </w:r>
    </w:p>
    <w:p w:rsidR="00F9631D"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2(c)(8)</w:t>
      </w:r>
      <w:r w:rsidRPr="000F05DF">
        <w:rPr>
          <w:spacing w:val="-3"/>
          <w:sz w:val="20"/>
          <w:szCs w:val="20"/>
        </w:rPr>
        <w:tab/>
        <w:t xml:space="preserve">Security procedures and the use of personnel and equipment to respond to an actual, </w:t>
      </w:r>
      <w:r>
        <w:rPr>
          <w:spacing w:val="-3"/>
          <w:sz w:val="20"/>
          <w:szCs w:val="20"/>
        </w:rPr>
        <w:t xml:space="preserve">a </w:t>
      </w:r>
      <w:r w:rsidRPr="000F05DF">
        <w:rPr>
          <w:spacing w:val="-3"/>
          <w:sz w:val="20"/>
          <w:szCs w:val="20"/>
        </w:rPr>
        <w:t>threatened, or a reasonably potential danger to the safety of employees, students, staff, the public or public property.</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Pr>
          <w:spacing w:val="-3"/>
          <w:sz w:val="20"/>
          <w:szCs w:val="20"/>
        </w:rPr>
        <w:t>2(c)</w:t>
      </w:r>
      <w:r w:rsidRPr="000F05DF">
        <w:rPr>
          <w:spacing w:val="-3"/>
          <w:sz w:val="20"/>
          <w:szCs w:val="20"/>
        </w:rPr>
        <w:t>(</w:t>
      </w:r>
      <w:r>
        <w:rPr>
          <w:spacing w:val="-3"/>
          <w:sz w:val="20"/>
          <w:szCs w:val="20"/>
        </w:rPr>
        <w:t>9</w:t>
      </w:r>
      <w:r w:rsidRPr="000F05DF">
        <w:rPr>
          <w:spacing w:val="-3"/>
          <w:sz w:val="20"/>
          <w:szCs w:val="20"/>
        </w:rPr>
        <w:t>)</w:t>
      </w:r>
      <w:r w:rsidRPr="000F05DF">
        <w:rPr>
          <w:spacing w:val="-3"/>
          <w:sz w:val="20"/>
          <w:szCs w:val="20"/>
        </w:rPr>
        <w:tab/>
      </w:r>
      <w:r>
        <w:rPr>
          <w:spacing w:val="-3"/>
          <w:sz w:val="20"/>
          <w:szCs w:val="20"/>
        </w:rPr>
        <w:t>Student disciplinary cases</w:t>
      </w:r>
      <w:r w:rsidRPr="000F05DF">
        <w:rPr>
          <w:spacing w:val="-3"/>
          <w:sz w:val="20"/>
          <w:szCs w:val="20"/>
        </w:rPr>
        <w:t>.</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Pr>
          <w:spacing w:val="-3"/>
          <w:sz w:val="20"/>
          <w:szCs w:val="20"/>
        </w:rPr>
        <w:t>2(c)</w:t>
      </w:r>
      <w:r w:rsidRPr="000F05DF">
        <w:rPr>
          <w:spacing w:val="-3"/>
          <w:sz w:val="20"/>
          <w:szCs w:val="20"/>
        </w:rPr>
        <w:t>(</w:t>
      </w:r>
      <w:r>
        <w:rPr>
          <w:spacing w:val="-3"/>
          <w:sz w:val="20"/>
          <w:szCs w:val="20"/>
        </w:rPr>
        <w:t>10</w:t>
      </w:r>
      <w:r w:rsidRPr="000F05DF">
        <w:rPr>
          <w:spacing w:val="-3"/>
          <w:sz w:val="20"/>
          <w:szCs w:val="20"/>
        </w:rPr>
        <w:t>)</w:t>
      </w:r>
      <w:r w:rsidRPr="000F05DF">
        <w:rPr>
          <w:spacing w:val="-3"/>
          <w:sz w:val="20"/>
          <w:szCs w:val="20"/>
        </w:rPr>
        <w:tab/>
      </w:r>
      <w:r>
        <w:rPr>
          <w:spacing w:val="-3"/>
          <w:sz w:val="20"/>
          <w:szCs w:val="20"/>
        </w:rPr>
        <w:t>Placement of individual students in special education programs and other matters relating to individual students.</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2(c)(11)</w:t>
      </w:r>
      <w:r w:rsidRPr="000F05DF">
        <w:rPr>
          <w:spacing w:val="-3"/>
          <w:sz w:val="20"/>
          <w:szCs w:val="20"/>
        </w:rPr>
        <w:tab/>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F9631D"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2(c)(12)</w:t>
      </w:r>
      <w:r w:rsidRPr="000F05DF">
        <w:rPr>
          <w:spacing w:val="-3"/>
          <w:sz w:val="20"/>
          <w:szCs w:val="20"/>
        </w:rPr>
        <w:tab/>
        <w:t>The establishment of reserves or settlement of claims as provided in the Local Governmental and Governmental Employees Tort Immunity Act, if otherwise the disposition of a claim or potential claim might be prej</w:t>
      </w:r>
      <w:r>
        <w:rPr>
          <w:spacing w:val="-3"/>
          <w:sz w:val="20"/>
          <w:szCs w:val="20"/>
        </w:rPr>
        <w:t>udiced, or the review or discus</w:t>
      </w:r>
      <w:r w:rsidRPr="000F05DF">
        <w:rPr>
          <w:spacing w:val="-3"/>
          <w:sz w:val="20"/>
          <w:szCs w:val="20"/>
        </w:rPr>
        <w:t>sion of claims, loss or risk management information, records, data, advice or communications from or with respect to any insurer of the public body or any intergovernmental risk management association or self insurance pool of which the public body is a member.</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w:t>
      </w:r>
      <w:r>
        <w:rPr>
          <w:spacing w:val="-3"/>
          <w:sz w:val="20"/>
          <w:szCs w:val="20"/>
        </w:rPr>
        <w:t>4</w:t>
      </w:r>
      <w:r w:rsidRPr="000F05DF">
        <w:rPr>
          <w:spacing w:val="-3"/>
          <w:sz w:val="20"/>
          <w:szCs w:val="20"/>
        </w:rPr>
        <w:t>)</w:t>
      </w:r>
      <w:r w:rsidRPr="000F05DF">
        <w:rPr>
          <w:spacing w:val="-3"/>
          <w:sz w:val="20"/>
          <w:szCs w:val="20"/>
        </w:rPr>
        <w:tab/>
      </w:r>
      <w:r>
        <w:rPr>
          <w:spacing w:val="-3"/>
          <w:sz w:val="20"/>
          <w:szCs w:val="20"/>
        </w:rPr>
        <w:t>Informant sources, the hiring or assignment of undercover personnel or equipment, or ongoing, prior or future criminal investigations, when discussed by a public body with criminal investigatory responsibilities.</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2(c)(15)</w:t>
      </w:r>
      <w:r w:rsidRPr="000F05DF">
        <w:rPr>
          <w:spacing w:val="-3"/>
          <w:sz w:val="20"/>
          <w:szCs w:val="20"/>
        </w:rPr>
        <w:tab/>
        <w:t>Professional ethics or performance when considered by an advisory body appointed to advise a licensing or regulatory agency on matters germane to the advisory body's field of competence.</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2(c)(16)</w:t>
      </w:r>
      <w:r w:rsidRPr="000F05DF">
        <w:rPr>
          <w:spacing w:val="-3"/>
          <w:sz w:val="20"/>
          <w:szCs w:val="20"/>
        </w:rPr>
        <w:tab/>
        <w:t>Self evaluation, practices and procedures or professional ethics, when meeting with a representative of a statewide association of which the public body is a member.</w:t>
      </w:r>
    </w:p>
    <w:p w:rsidR="00F9631D" w:rsidRPr="000F05DF" w:rsidRDefault="00F9631D" w:rsidP="008E331F">
      <w:pPr>
        <w:tabs>
          <w:tab w:val="left" w:pos="-720"/>
          <w:tab w:val="right" w:pos="0"/>
          <w:tab w:val="left" w:pos="180"/>
          <w:tab w:val="left" w:pos="720"/>
        </w:tabs>
        <w:ind w:left="660" w:right="-540" w:hanging="1440"/>
        <w:jc w:val="both"/>
        <w:rPr>
          <w:spacing w:val="-3"/>
          <w:sz w:val="20"/>
          <w:szCs w:val="20"/>
        </w:rPr>
      </w:pPr>
      <w:r w:rsidRPr="000F05DF">
        <w:rPr>
          <w:spacing w:val="-3"/>
          <w:sz w:val="20"/>
          <w:szCs w:val="20"/>
        </w:rPr>
        <w:t>2(c)(21)</w:t>
      </w:r>
      <w:r w:rsidRPr="000F05DF">
        <w:rPr>
          <w:spacing w:val="-3"/>
          <w:sz w:val="20"/>
          <w:szCs w:val="20"/>
        </w:rPr>
        <w:tab/>
        <w:t>Discussion of minutes of meetings lawfully closed under the Open Meetings Act, whether for purposes of approval by the body of the minutes or semi-annual review of the minutes as mandated by Section 2.06 of the Open Meetings Act.</w:t>
      </w:r>
    </w:p>
    <w:p w:rsidR="00F9631D" w:rsidRPr="000F05DF" w:rsidRDefault="00F9631D" w:rsidP="008E331F">
      <w:pPr>
        <w:tabs>
          <w:tab w:val="left" w:pos="-720"/>
          <w:tab w:val="right" w:pos="0"/>
        </w:tabs>
        <w:ind w:left="-780" w:right="-540"/>
        <w:jc w:val="both"/>
        <w:rPr>
          <w:spacing w:val="-3"/>
          <w:sz w:val="20"/>
          <w:szCs w:val="20"/>
        </w:rPr>
      </w:pPr>
    </w:p>
    <w:p w:rsidR="00F9631D" w:rsidRPr="000F05DF" w:rsidRDefault="00F9631D" w:rsidP="008E331F">
      <w:pPr>
        <w:tabs>
          <w:tab w:val="left" w:pos="-720"/>
          <w:tab w:val="right" w:pos="0"/>
        </w:tabs>
        <w:ind w:left="-780" w:right="-540"/>
        <w:jc w:val="both"/>
        <w:rPr>
          <w:spacing w:val="-3"/>
          <w:sz w:val="20"/>
          <w:szCs w:val="20"/>
        </w:rPr>
      </w:pPr>
      <w:r w:rsidRPr="000F05DF">
        <w:rPr>
          <w:spacing w:val="-3"/>
          <w:sz w:val="20"/>
          <w:szCs w:val="20"/>
        </w:rPr>
        <w:t xml:space="preserve">* The exceptions listed are those applicable to </w:t>
      </w:r>
      <w:r>
        <w:rPr>
          <w:spacing w:val="-3"/>
          <w:sz w:val="20"/>
          <w:szCs w:val="20"/>
        </w:rPr>
        <w:t>schools and</w:t>
      </w:r>
      <w:r w:rsidRPr="000F05DF">
        <w:rPr>
          <w:spacing w:val="-3"/>
          <w:sz w:val="20"/>
          <w:szCs w:val="20"/>
        </w:rPr>
        <w:t xml:space="preserve"> libraries in the words of the statute. Other exceptions may apply to other forms of governmental bodies.  Although stricken by statutory amendment, we believe a constitutional exception continues to exist permitting closed session to consult with an attorney on privileged matters.</w:t>
      </w:r>
    </w:p>
    <w:p w:rsidR="00FF73E9" w:rsidRDefault="00FF73E9" w:rsidP="008E331F">
      <w:pPr>
        <w:ind w:right="-540"/>
      </w:pPr>
    </w:p>
    <w:sectPr w:rsidR="00FF73E9" w:rsidSect="008E331F">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2D" w:rsidRDefault="00DF6F2D">
      <w:r>
        <w:separator/>
      </w:r>
    </w:p>
  </w:endnote>
  <w:endnote w:type="continuationSeparator" w:id="0">
    <w:p w:rsidR="00DF6F2D" w:rsidRDefault="00D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2D" w:rsidRDefault="00DF6F2D">
      <w:r>
        <w:separator/>
      </w:r>
    </w:p>
  </w:footnote>
  <w:footnote w:type="continuationSeparator" w:id="0">
    <w:p w:rsidR="00DF6F2D" w:rsidRDefault="00DF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1D"/>
    <w:rsid w:val="00055521"/>
    <w:rsid w:val="00056A66"/>
    <w:rsid w:val="00056E4B"/>
    <w:rsid w:val="00071364"/>
    <w:rsid w:val="000D14AA"/>
    <w:rsid w:val="0010273E"/>
    <w:rsid w:val="00111E08"/>
    <w:rsid w:val="00130D79"/>
    <w:rsid w:val="00151FEB"/>
    <w:rsid w:val="001570A4"/>
    <w:rsid w:val="0016567A"/>
    <w:rsid w:val="0018366B"/>
    <w:rsid w:val="001A3BC3"/>
    <w:rsid w:val="001B572D"/>
    <w:rsid w:val="001B7100"/>
    <w:rsid w:val="001C202A"/>
    <w:rsid w:val="001C79A4"/>
    <w:rsid w:val="001E7D36"/>
    <w:rsid w:val="001F6610"/>
    <w:rsid w:val="00233147"/>
    <w:rsid w:val="002E11C2"/>
    <w:rsid w:val="002E588E"/>
    <w:rsid w:val="002F2F4A"/>
    <w:rsid w:val="00304677"/>
    <w:rsid w:val="00313A8C"/>
    <w:rsid w:val="003245EA"/>
    <w:rsid w:val="0032499F"/>
    <w:rsid w:val="00330737"/>
    <w:rsid w:val="0035780D"/>
    <w:rsid w:val="00372C70"/>
    <w:rsid w:val="00383E2B"/>
    <w:rsid w:val="003A05BC"/>
    <w:rsid w:val="003A36CE"/>
    <w:rsid w:val="003B4412"/>
    <w:rsid w:val="003C55FC"/>
    <w:rsid w:val="003E2AD7"/>
    <w:rsid w:val="00400BCE"/>
    <w:rsid w:val="004165A6"/>
    <w:rsid w:val="00481D74"/>
    <w:rsid w:val="004E405C"/>
    <w:rsid w:val="005441F1"/>
    <w:rsid w:val="0055279D"/>
    <w:rsid w:val="00586775"/>
    <w:rsid w:val="00596D56"/>
    <w:rsid w:val="005D76AC"/>
    <w:rsid w:val="005E1148"/>
    <w:rsid w:val="005E649B"/>
    <w:rsid w:val="006025A3"/>
    <w:rsid w:val="0063600C"/>
    <w:rsid w:val="0066365D"/>
    <w:rsid w:val="00666A83"/>
    <w:rsid w:val="00685B25"/>
    <w:rsid w:val="006968E5"/>
    <w:rsid w:val="006A6417"/>
    <w:rsid w:val="00726DB7"/>
    <w:rsid w:val="00753FA3"/>
    <w:rsid w:val="007621C7"/>
    <w:rsid w:val="0079454B"/>
    <w:rsid w:val="00796149"/>
    <w:rsid w:val="007A3645"/>
    <w:rsid w:val="007C5BB2"/>
    <w:rsid w:val="007C6A4E"/>
    <w:rsid w:val="007E6601"/>
    <w:rsid w:val="008263E8"/>
    <w:rsid w:val="00830189"/>
    <w:rsid w:val="00896C1A"/>
    <w:rsid w:val="008A0E6D"/>
    <w:rsid w:val="008A5803"/>
    <w:rsid w:val="008A7C27"/>
    <w:rsid w:val="008D7269"/>
    <w:rsid w:val="008E331F"/>
    <w:rsid w:val="0091262D"/>
    <w:rsid w:val="00922945"/>
    <w:rsid w:val="00950289"/>
    <w:rsid w:val="00961484"/>
    <w:rsid w:val="00962C64"/>
    <w:rsid w:val="00984484"/>
    <w:rsid w:val="009D5BDD"/>
    <w:rsid w:val="009E28E4"/>
    <w:rsid w:val="00A301B5"/>
    <w:rsid w:val="00A339C7"/>
    <w:rsid w:val="00A3795A"/>
    <w:rsid w:val="00A51A12"/>
    <w:rsid w:val="00A61AED"/>
    <w:rsid w:val="00A67C23"/>
    <w:rsid w:val="00A75A28"/>
    <w:rsid w:val="00A82229"/>
    <w:rsid w:val="00A958D2"/>
    <w:rsid w:val="00AA004F"/>
    <w:rsid w:val="00AA26C8"/>
    <w:rsid w:val="00AC4604"/>
    <w:rsid w:val="00AC563F"/>
    <w:rsid w:val="00AE367F"/>
    <w:rsid w:val="00AF7803"/>
    <w:rsid w:val="00B011C0"/>
    <w:rsid w:val="00B17983"/>
    <w:rsid w:val="00B86E8F"/>
    <w:rsid w:val="00B94FF0"/>
    <w:rsid w:val="00BB57F5"/>
    <w:rsid w:val="00BC5564"/>
    <w:rsid w:val="00BE72F0"/>
    <w:rsid w:val="00C06B3C"/>
    <w:rsid w:val="00C25539"/>
    <w:rsid w:val="00C54667"/>
    <w:rsid w:val="00C62C4E"/>
    <w:rsid w:val="00C64135"/>
    <w:rsid w:val="00C87CCB"/>
    <w:rsid w:val="00CA6BC3"/>
    <w:rsid w:val="00CB2CBA"/>
    <w:rsid w:val="00CB2F5F"/>
    <w:rsid w:val="00CD06CF"/>
    <w:rsid w:val="00CE25F7"/>
    <w:rsid w:val="00D01272"/>
    <w:rsid w:val="00D01B8D"/>
    <w:rsid w:val="00D04AC3"/>
    <w:rsid w:val="00D313A1"/>
    <w:rsid w:val="00D5190B"/>
    <w:rsid w:val="00D60126"/>
    <w:rsid w:val="00D77FBB"/>
    <w:rsid w:val="00DB1836"/>
    <w:rsid w:val="00DC7A3F"/>
    <w:rsid w:val="00DE1D78"/>
    <w:rsid w:val="00DF6F2D"/>
    <w:rsid w:val="00E06562"/>
    <w:rsid w:val="00E10B46"/>
    <w:rsid w:val="00E14A22"/>
    <w:rsid w:val="00E24C27"/>
    <w:rsid w:val="00E34DAC"/>
    <w:rsid w:val="00E36606"/>
    <w:rsid w:val="00E4142E"/>
    <w:rsid w:val="00E60EB5"/>
    <w:rsid w:val="00E82251"/>
    <w:rsid w:val="00E94414"/>
    <w:rsid w:val="00F0549D"/>
    <w:rsid w:val="00F0619D"/>
    <w:rsid w:val="00F24E56"/>
    <w:rsid w:val="00F461D6"/>
    <w:rsid w:val="00F53AEF"/>
    <w:rsid w:val="00F60E8D"/>
    <w:rsid w:val="00F7168D"/>
    <w:rsid w:val="00F9631D"/>
    <w:rsid w:val="00FB2347"/>
    <w:rsid w:val="00FB275E"/>
    <w:rsid w:val="00FC1313"/>
    <w:rsid w:val="00FC5ADD"/>
    <w:rsid w:val="00FD0A04"/>
    <w:rsid w:val="00FE573F"/>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19E44-BAC1-4028-AC1A-4AB68130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1D"/>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2C4E"/>
    <w:pPr>
      <w:tabs>
        <w:tab w:val="center" w:pos="4320"/>
        <w:tab w:val="right" w:pos="8640"/>
      </w:tabs>
    </w:pPr>
  </w:style>
  <w:style w:type="paragraph" w:styleId="Footer">
    <w:name w:val="footer"/>
    <w:basedOn w:val="Normal"/>
    <w:rsid w:val="00C62C4E"/>
    <w:pPr>
      <w:tabs>
        <w:tab w:val="center" w:pos="4320"/>
        <w:tab w:val="right" w:pos="8640"/>
      </w:tabs>
    </w:pPr>
  </w:style>
  <w:style w:type="paragraph" w:styleId="BalloonText">
    <w:name w:val="Balloon Text"/>
    <w:basedOn w:val="Normal"/>
    <w:semiHidden/>
    <w:rsid w:val="00130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CLOSED MEETING</vt:lpstr>
    </vt:vector>
  </TitlesOfParts>
  <Company>KSSWF</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CLOSED MEETING</dc:title>
  <dc:subject/>
  <dc:creator>PBL</dc:creator>
  <cp:keywords/>
  <dc:description/>
  <cp:lastModifiedBy>Director</cp:lastModifiedBy>
  <cp:revision>2</cp:revision>
  <cp:lastPrinted>2016-02-27T15:23:00Z</cp:lastPrinted>
  <dcterms:created xsi:type="dcterms:W3CDTF">2017-08-30T15:14:00Z</dcterms:created>
  <dcterms:modified xsi:type="dcterms:W3CDTF">2017-08-30T15:14:00Z</dcterms:modified>
</cp:coreProperties>
</file>